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170"/>
        <w:gridCol w:w="1440"/>
        <w:gridCol w:w="5220"/>
        <w:gridCol w:w="2970"/>
        <w:gridCol w:w="1350"/>
      </w:tblGrid>
      <w:tr w:rsidR="000358FD" w:rsidRPr="000358FD" w14:paraId="229B2185" w14:textId="77777777" w:rsidTr="000358FD">
        <w:trPr>
          <w:trHeight w:val="440"/>
        </w:trPr>
        <w:tc>
          <w:tcPr>
            <w:tcW w:w="2065" w:type="dxa"/>
            <w:shd w:val="clear" w:color="auto" w:fill="D9D9D9" w:themeFill="background1" w:themeFillShade="D9"/>
            <w:vAlign w:val="center"/>
          </w:tcPr>
          <w:p w14:paraId="4ED6F8A6" w14:textId="77777777" w:rsidR="000358FD" w:rsidRPr="000358FD" w:rsidRDefault="000358FD" w:rsidP="00E177EA">
            <w:pPr>
              <w:jc w:val="center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  <w:r w:rsidRPr="000358FD">
              <w:rPr>
                <w:rFonts w:ascii="Helvetica Neue" w:hAnsi="Helvetica Neue" w:cs="Arial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80DD525" w14:textId="77777777" w:rsidR="000358FD" w:rsidRPr="000358FD" w:rsidRDefault="000358FD" w:rsidP="00E177EA">
            <w:pPr>
              <w:jc w:val="center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  <w:r w:rsidRPr="000358FD">
              <w:rPr>
                <w:rFonts w:ascii="Helvetica Neue" w:hAnsi="Helvetica Neue" w:cs="Arial"/>
                <w:b/>
                <w:bCs/>
                <w:sz w:val="20"/>
                <w:szCs w:val="20"/>
              </w:rPr>
              <w:t>Deadline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5B6A1F1" w14:textId="77777777" w:rsidR="000358FD" w:rsidRPr="000358FD" w:rsidRDefault="000358FD" w:rsidP="00E177EA">
            <w:pPr>
              <w:jc w:val="center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  <w:r w:rsidRPr="000358FD">
              <w:rPr>
                <w:rFonts w:ascii="Helvetica Neue" w:hAnsi="Helvetica Neue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3A6F688D" w14:textId="77777777" w:rsidR="000358FD" w:rsidRPr="000358FD" w:rsidRDefault="000358FD" w:rsidP="00E177EA">
            <w:pPr>
              <w:jc w:val="center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  <w:r w:rsidRPr="000358FD">
              <w:rPr>
                <w:rFonts w:ascii="Helvetica Neue" w:hAnsi="Helvetica Neue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5F0AC66F" w14:textId="77777777" w:rsidR="000358FD" w:rsidRPr="000358FD" w:rsidRDefault="000358FD" w:rsidP="00E177EA">
            <w:pPr>
              <w:jc w:val="center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  <w:r w:rsidRPr="000358FD">
              <w:rPr>
                <w:rFonts w:ascii="Helvetica Neue" w:hAnsi="Helvetica Neue" w:cs="Arial"/>
                <w:b/>
                <w:bCs/>
                <w:sz w:val="20"/>
                <w:szCs w:val="20"/>
              </w:rPr>
              <w:t>Eligibility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B6B68AA" w14:textId="77777777" w:rsidR="000358FD" w:rsidRPr="000358FD" w:rsidRDefault="000358FD" w:rsidP="00E177EA">
            <w:pPr>
              <w:jc w:val="center"/>
              <w:rPr>
                <w:rFonts w:ascii="Helvetica Neue" w:hAnsi="Helvetica Neue" w:cs="Arial"/>
                <w:b/>
                <w:bCs/>
                <w:sz w:val="20"/>
                <w:szCs w:val="20"/>
              </w:rPr>
            </w:pPr>
            <w:r w:rsidRPr="000358FD">
              <w:rPr>
                <w:rFonts w:ascii="Helvetica Neue" w:hAnsi="Helvetica Neue" w:cs="Arial"/>
                <w:b/>
                <w:bCs/>
                <w:sz w:val="20"/>
                <w:szCs w:val="20"/>
              </w:rPr>
              <w:t>Duration</w:t>
            </w:r>
          </w:p>
        </w:tc>
      </w:tr>
      <w:tr w:rsidR="000358FD" w:rsidRPr="000358FD" w14:paraId="20DEDA5E" w14:textId="77777777" w:rsidTr="000358FD">
        <w:trPr>
          <w:trHeight w:val="341"/>
        </w:trPr>
        <w:tc>
          <w:tcPr>
            <w:tcW w:w="14215" w:type="dxa"/>
            <w:gridSpan w:val="6"/>
            <w:vAlign w:val="center"/>
          </w:tcPr>
          <w:p w14:paraId="3461A40A" w14:textId="77777777" w:rsidR="000358FD" w:rsidRPr="000358FD" w:rsidRDefault="000358FD" w:rsidP="000358FD">
            <w:pPr>
              <w:jc w:val="center"/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INTERNAL STANFORD DIVERSITY FUNDING</w:t>
            </w:r>
          </w:p>
        </w:tc>
      </w:tr>
      <w:tr w:rsidR="000358FD" w:rsidRPr="000358FD" w14:paraId="33B11025" w14:textId="77777777" w:rsidTr="000358FD">
        <w:tc>
          <w:tcPr>
            <w:tcW w:w="2065" w:type="dxa"/>
            <w:vAlign w:val="center"/>
          </w:tcPr>
          <w:p w14:paraId="206C0D9C" w14:textId="77777777" w:rsidR="000358FD" w:rsidRPr="000358FD" w:rsidRDefault="00C16890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hyperlink r:id="rId6" w:history="1">
              <w:r w:rsidR="000358FD" w:rsidRPr="000358FD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Stanford Medicine DARE (Diversifying Academia, Recruiting Excellence)</w:t>
              </w:r>
            </w:hyperlink>
            <w:r w:rsidR="000358FD"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6C52DBC2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Winter quarter</w:t>
            </w:r>
          </w:p>
        </w:tc>
        <w:tc>
          <w:tcPr>
            <w:tcW w:w="1440" w:type="dxa"/>
            <w:vAlign w:val="center"/>
          </w:tcPr>
          <w:p w14:paraId="41C58342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$11,500 per quarter</w:t>
            </w:r>
          </w:p>
        </w:tc>
        <w:tc>
          <w:tcPr>
            <w:tcW w:w="5220" w:type="dxa"/>
            <w:vAlign w:val="center"/>
          </w:tcPr>
          <w:p w14:paraId="51495677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Awards two-year fellowships to advanced doctoral students who want to investigate and prepare for academic careers and whose presence will help diversify the professoriate.</w:t>
            </w:r>
          </w:p>
        </w:tc>
        <w:tc>
          <w:tcPr>
            <w:tcW w:w="2970" w:type="dxa"/>
            <w:vAlign w:val="center"/>
          </w:tcPr>
          <w:p w14:paraId="0586E4C2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Advanced doctoral students whose presence will help diversify the professoriate.</w:t>
            </w:r>
          </w:p>
        </w:tc>
        <w:tc>
          <w:tcPr>
            <w:tcW w:w="1350" w:type="dxa"/>
            <w:vAlign w:val="center"/>
          </w:tcPr>
          <w:p w14:paraId="23028B91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2 years</w:t>
            </w:r>
          </w:p>
        </w:tc>
      </w:tr>
      <w:tr w:rsidR="000358FD" w:rsidRPr="000358FD" w14:paraId="70BDFD90" w14:textId="77777777" w:rsidTr="000358FD">
        <w:tc>
          <w:tcPr>
            <w:tcW w:w="2065" w:type="dxa"/>
            <w:vAlign w:val="center"/>
          </w:tcPr>
          <w:p w14:paraId="2AC52672" w14:textId="77777777" w:rsidR="000358FD" w:rsidRPr="000358FD" w:rsidRDefault="00C16890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hyperlink r:id="rId7" w:history="1">
              <w:r w:rsidR="000358FD" w:rsidRPr="000358FD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Stanford Hardship Fund</w:t>
              </w:r>
            </w:hyperlink>
          </w:p>
        </w:tc>
        <w:tc>
          <w:tcPr>
            <w:tcW w:w="1170" w:type="dxa"/>
            <w:vAlign w:val="center"/>
          </w:tcPr>
          <w:p w14:paraId="6860B66F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440" w:type="dxa"/>
            <w:vAlign w:val="center"/>
          </w:tcPr>
          <w:p w14:paraId="6143A40D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5220" w:type="dxa"/>
            <w:vAlign w:val="center"/>
          </w:tcPr>
          <w:p w14:paraId="7AF97DDB" w14:textId="77777777" w:rsidR="000358FD" w:rsidRPr="000358FD" w:rsidRDefault="000358FD" w:rsidP="00E177EA">
            <w:pPr>
              <w:rPr>
                <w:rFonts w:ascii="Helvetica Neue Light" w:hAnsi="Helvetica Neue Light" w:cs="Arial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sz w:val="18"/>
                <w:szCs w:val="18"/>
              </w:rPr>
              <w:t>The fund offers grants of up to $5,000 (subject to fund availability) per household per academic year (September 1 – August 31) to postdoctoral scholars who meet the eligibility criteria.</w:t>
            </w:r>
          </w:p>
        </w:tc>
        <w:tc>
          <w:tcPr>
            <w:tcW w:w="2970" w:type="dxa"/>
            <w:vAlign w:val="center"/>
          </w:tcPr>
          <w:p w14:paraId="505E336B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Current postdoctoral scholar in good standing, appointed through the Office of Postdoctoral Affairs</w:t>
            </w:r>
          </w:p>
        </w:tc>
        <w:tc>
          <w:tcPr>
            <w:tcW w:w="1350" w:type="dxa"/>
            <w:vAlign w:val="center"/>
          </w:tcPr>
          <w:p w14:paraId="48E76943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one-time award</w:t>
            </w:r>
          </w:p>
        </w:tc>
      </w:tr>
      <w:tr w:rsidR="000358FD" w:rsidRPr="000358FD" w14:paraId="0944B002" w14:textId="77777777" w:rsidTr="000358FD">
        <w:tc>
          <w:tcPr>
            <w:tcW w:w="2065" w:type="dxa"/>
            <w:vAlign w:val="center"/>
          </w:tcPr>
          <w:p w14:paraId="43B56F6E" w14:textId="77777777" w:rsidR="000358FD" w:rsidRPr="000358FD" w:rsidRDefault="00C16890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hyperlink r:id="rId8" w:history="1">
              <w:r w:rsidR="000358FD" w:rsidRPr="000358FD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HCOE/OFDD Faculty Fellowship</w:t>
              </w:r>
            </w:hyperlink>
          </w:p>
        </w:tc>
        <w:tc>
          <w:tcPr>
            <w:tcW w:w="1170" w:type="dxa"/>
            <w:vAlign w:val="center"/>
          </w:tcPr>
          <w:p w14:paraId="22809B04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TBD</w:t>
            </w:r>
          </w:p>
        </w:tc>
        <w:tc>
          <w:tcPr>
            <w:tcW w:w="1440" w:type="dxa"/>
            <w:vAlign w:val="center"/>
          </w:tcPr>
          <w:p w14:paraId="3AC7A9F1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$20,000 for salary, $5,000 for travel/supplies</w:t>
            </w:r>
          </w:p>
        </w:tc>
        <w:tc>
          <w:tcPr>
            <w:tcW w:w="5220" w:type="dxa"/>
            <w:vAlign w:val="center"/>
          </w:tcPr>
          <w:p w14:paraId="18CF52F4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The purpose of the fellowship is to help advance the careers of junior faculty from underrepresented backgrounds as well as those with academic research in health disparities. </w:t>
            </w:r>
          </w:p>
        </w:tc>
        <w:tc>
          <w:tcPr>
            <w:tcW w:w="2970" w:type="dxa"/>
            <w:vAlign w:val="center"/>
          </w:tcPr>
          <w:p w14:paraId="64AE0A4B" w14:textId="77777777" w:rsidR="000358FD" w:rsidRPr="000358FD" w:rsidRDefault="000358FD" w:rsidP="00E177EA">
            <w:pPr>
              <w:rPr>
                <w:rFonts w:ascii="Helvetica Neue Light" w:hAnsi="Helvetica Neue Light" w:cs="Arial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sz w:val="18"/>
                <w:szCs w:val="18"/>
              </w:rPr>
              <w:t>Junior faculty from underrepresented backgrounds as well as those with academic research in health disparities</w:t>
            </w:r>
          </w:p>
        </w:tc>
        <w:tc>
          <w:tcPr>
            <w:tcW w:w="1350" w:type="dxa"/>
            <w:vAlign w:val="center"/>
          </w:tcPr>
          <w:p w14:paraId="03CDCD2B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one-time award</w:t>
            </w:r>
          </w:p>
        </w:tc>
      </w:tr>
      <w:tr w:rsidR="000358FD" w:rsidRPr="000358FD" w14:paraId="2AD0FF5F" w14:textId="77777777" w:rsidTr="000358FD">
        <w:trPr>
          <w:trHeight w:val="359"/>
        </w:trPr>
        <w:tc>
          <w:tcPr>
            <w:tcW w:w="14215" w:type="dxa"/>
            <w:gridSpan w:val="6"/>
            <w:vAlign w:val="center"/>
          </w:tcPr>
          <w:p w14:paraId="2B20F7D9" w14:textId="77777777" w:rsidR="000358FD" w:rsidRPr="000358FD" w:rsidRDefault="000358FD" w:rsidP="000358FD">
            <w:pPr>
              <w:jc w:val="center"/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EXTERNAL FUNDING FOR DIVERSITY IN ACADEMIC DERMATOLOGY</w:t>
            </w:r>
          </w:p>
        </w:tc>
      </w:tr>
      <w:tr w:rsidR="000358FD" w:rsidRPr="000358FD" w14:paraId="5B854481" w14:textId="77777777" w:rsidTr="00C57661">
        <w:trPr>
          <w:trHeight w:val="773"/>
        </w:trPr>
        <w:tc>
          <w:tcPr>
            <w:tcW w:w="2065" w:type="dxa"/>
            <w:vAlign w:val="center"/>
          </w:tcPr>
          <w:p w14:paraId="2EE1BA8D" w14:textId="77777777" w:rsidR="000358FD" w:rsidRPr="000358FD" w:rsidRDefault="00C16890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hyperlink r:id="rId9" w:history="1">
              <w:r w:rsidR="000358FD" w:rsidRPr="000358FD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Dermatology Foundation Research Supplement Award</w:t>
              </w:r>
            </w:hyperlink>
          </w:p>
        </w:tc>
        <w:tc>
          <w:tcPr>
            <w:tcW w:w="1170" w:type="dxa"/>
            <w:vAlign w:val="center"/>
          </w:tcPr>
          <w:p w14:paraId="24BE814D" w14:textId="35B3A3A2" w:rsidR="000358FD" w:rsidRPr="000358FD" w:rsidRDefault="00DA7A77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1440" w:type="dxa"/>
            <w:vAlign w:val="center"/>
          </w:tcPr>
          <w:p w14:paraId="3B7324CA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5220" w:type="dxa"/>
            <w:vAlign w:val="center"/>
          </w:tcPr>
          <w:p w14:paraId="4B572D9A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Each award is to be used to support the in-depth participation of a medical student in a defined full-time research plan.</w:t>
            </w:r>
          </w:p>
        </w:tc>
        <w:tc>
          <w:tcPr>
            <w:tcW w:w="2970" w:type="dxa"/>
            <w:vAlign w:val="center"/>
          </w:tcPr>
          <w:p w14:paraId="6A7D4D13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Medical students belonging to underrepresented group in medicine</w:t>
            </w:r>
          </w:p>
        </w:tc>
        <w:tc>
          <w:tcPr>
            <w:tcW w:w="1350" w:type="dxa"/>
            <w:vAlign w:val="center"/>
          </w:tcPr>
          <w:p w14:paraId="6402D3D3" w14:textId="77777777" w:rsidR="000358FD" w:rsidRPr="000358FD" w:rsidRDefault="000358FD" w:rsidP="00E177EA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6-12 weeks</w:t>
            </w:r>
          </w:p>
        </w:tc>
      </w:tr>
      <w:tr w:rsidR="000358FD" w:rsidRPr="000358FD" w14:paraId="35D354D5" w14:textId="77777777" w:rsidTr="000358FD">
        <w:tc>
          <w:tcPr>
            <w:tcW w:w="2065" w:type="dxa"/>
            <w:vAlign w:val="center"/>
          </w:tcPr>
          <w:p w14:paraId="22A1F68F" w14:textId="77777777" w:rsidR="000358FD" w:rsidRPr="000358FD" w:rsidRDefault="00C16890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hyperlink r:id="rId10" w:history="1">
              <w:r w:rsidR="000358FD" w:rsidRPr="000358FD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AAD Diversity Mentorship</w:t>
              </w:r>
              <w:r w:rsidR="000358FD" w:rsidRPr="000358FD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 xml:space="preserve"> </w:t>
              </w:r>
              <w:r w:rsidR="000358FD" w:rsidRPr="000358FD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Program</w:t>
              </w:r>
            </w:hyperlink>
          </w:p>
        </w:tc>
        <w:tc>
          <w:tcPr>
            <w:tcW w:w="1170" w:type="dxa"/>
            <w:vAlign w:val="center"/>
          </w:tcPr>
          <w:p w14:paraId="3A7CA2CB" w14:textId="77777777" w:rsidR="000358FD" w:rsidRPr="000358FD" w:rsidRDefault="000358FD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Nov. 1st</w:t>
            </w:r>
          </w:p>
        </w:tc>
        <w:tc>
          <w:tcPr>
            <w:tcW w:w="1440" w:type="dxa"/>
            <w:vAlign w:val="center"/>
          </w:tcPr>
          <w:p w14:paraId="5A7E0D3A" w14:textId="77777777" w:rsidR="000358FD" w:rsidRPr="000358FD" w:rsidRDefault="000358FD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Stipends of $1,500</w:t>
            </w:r>
          </w:p>
        </w:tc>
        <w:tc>
          <w:tcPr>
            <w:tcW w:w="5220" w:type="dxa"/>
            <w:vAlign w:val="center"/>
          </w:tcPr>
          <w:p w14:paraId="30CE4EDA" w14:textId="77777777" w:rsidR="000358FD" w:rsidRPr="000358FD" w:rsidRDefault="000358FD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Offers hands-on exposure to students who are interested in learning more about the specialty of dermatology through a one-on-one mentorship experience.</w:t>
            </w:r>
          </w:p>
        </w:tc>
        <w:tc>
          <w:tcPr>
            <w:tcW w:w="2970" w:type="dxa"/>
            <w:vAlign w:val="center"/>
          </w:tcPr>
          <w:p w14:paraId="75B3C06F" w14:textId="77777777" w:rsidR="000358FD" w:rsidRPr="000358FD" w:rsidRDefault="000358FD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Medical students belonging to underrepresented group in medicine</w:t>
            </w:r>
          </w:p>
        </w:tc>
        <w:tc>
          <w:tcPr>
            <w:tcW w:w="1350" w:type="dxa"/>
            <w:vAlign w:val="center"/>
          </w:tcPr>
          <w:p w14:paraId="0BEA47DB" w14:textId="77777777" w:rsidR="000358FD" w:rsidRPr="000358FD" w:rsidRDefault="000358FD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0358FD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1 year</w:t>
            </w:r>
          </w:p>
        </w:tc>
      </w:tr>
      <w:tr w:rsidR="006F355F" w:rsidRPr="000358FD" w14:paraId="7ED2B403" w14:textId="77777777" w:rsidTr="000358FD">
        <w:tc>
          <w:tcPr>
            <w:tcW w:w="2065" w:type="dxa"/>
            <w:vAlign w:val="center"/>
          </w:tcPr>
          <w:p w14:paraId="1D18B1DE" w14:textId="465877D4" w:rsidR="006F355F" w:rsidRDefault="00C16890" w:rsidP="000358FD">
            <w:hyperlink r:id="rId11" w:history="1">
              <w:r w:rsidR="006F355F" w:rsidRPr="006F355F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NIH Diversity Program Cons</w:t>
              </w:r>
              <w:r w:rsidR="006F355F" w:rsidRPr="006F355F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o</w:t>
              </w:r>
              <w:r w:rsidR="006F355F" w:rsidRPr="006F355F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rtium Dissemination and Translation Awards</w:t>
              </w:r>
            </w:hyperlink>
          </w:p>
        </w:tc>
        <w:tc>
          <w:tcPr>
            <w:tcW w:w="1170" w:type="dxa"/>
            <w:vAlign w:val="center"/>
          </w:tcPr>
          <w:p w14:paraId="576C5B27" w14:textId="003B4BA2" w:rsidR="006F355F" w:rsidRPr="000358FD" w:rsidRDefault="00DA7A77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Varies </w:t>
            </w:r>
          </w:p>
        </w:tc>
        <w:tc>
          <w:tcPr>
            <w:tcW w:w="1440" w:type="dxa"/>
            <w:vAlign w:val="center"/>
          </w:tcPr>
          <w:p w14:paraId="72F1C846" w14:textId="31E2AE1C" w:rsidR="006F355F" w:rsidRPr="000358FD" w:rsidRDefault="006F355F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$250,000</w:t>
            </w:r>
            <w:r w:rsidR="005B60E7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 per year</w:t>
            </w:r>
          </w:p>
        </w:tc>
        <w:tc>
          <w:tcPr>
            <w:tcW w:w="5220" w:type="dxa"/>
            <w:vAlign w:val="center"/>
          </w:tcPr>
          <w:p w14:paraId="409D0EDB" w14:textId="26957060" w:rsidR="006F355F" w:rsidRPr="000358FD" w:rsidRDefault="006F355F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 w:rsidRPr="006F355F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The purpose is to provide funds to institutions to implement </w:t>
            </w: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Diversity Program Consortium</w:t>
            </w:r>
            <w:r w:rsidRPr="006F355F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 scientific approaches to understanding the effectiveness of biomedical research training, mentoring or research capacity building interventions aimed at enhancing diversity in the biomedical research workforce. </w:t>
            </w:r>
          </w:p>
        </w:tc>
        <w:tc>
          <w:tcPr>
            <w:tcW w:w="2970" w:type="dxa"/>
            <w:vAlign w:val="center"/>
          </w:tcPr>
          <w:p w14:paraId="644FB0E9" w14:textId="2EEE85D3" w:rsidR="006F355F" w:rsidRPr="000358FD" w:rsidRDefault="005B60E7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Investigators at any stage with “</w:t>
            </w:r>
            <w:r w:rsidRPr="005B60E7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appropriate experience and training</w:t>
            </w: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50" w:type="dxa"/>
            <w:vAlign w:val="center"/>
          </w:tcPr>
          <w:p w14:paraId="6042D42D" w14:textId="117DEB1B" w:rsidR="006F355F" w:rsidRPr="000358FD" w:rsidRDefault="005B60E7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4 years</w:t>
            </w:r>
          </w:p>
        </w:tc>
      </w:tr>
      <w:tr w:rsidR="006F355F" w:rsidRPr="000358FD" w14:paraId="38F42453" w14:textId="77777777" w:rsidTr="00C57661">
        <w:trPr>
          <w:trHeight w:val="1043"/>
        </w:trPr>
        <w:tc>
          <w:tcPr>
            <w:tcW w:w="2065" w:type="dxa"/>
            <w:vAlign w:val="center"/>
          </w:tcPr>
          <w:p w14:paraId="2810460B" w14:textId="031D9C6D" w:rsidR="006F355F" w:rsidRDefault="00C16890" w:rsidP="000358FD">
            <w:hyperlink r:id="rId12" w:history="1">
              <w:r w:rsidR="006F355F" w:rsidRPr="005B60E7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NIH Sponsored Pro</w:t>
              </w:r>
              <w:r w:rsidR="006F355F" w:rsidRPr="005B60E7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g</w:t>
              </w:r>
              <w:r w:rsidR="006F355F" w:rsidRPr="005B60E7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rams Administration Development Program</w:t>
              </w:r>
            </w:hyperlink>
          </w:p>
        </w:tc>
        <w:tc>
          <w:tcPr>
            <w:tcW w:w="1170" w:type="dxa"/>
            <w:vAlign w:val="center"/>
          </w:tcPr>
          <w:p w14:paraId="135BD5B6" w14:textId="1C804748" w:rsidR="006F355F" w:rsidRPr="000358FD" w:rsidRDefault="00DA7A77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Varies</w:t>
            </w:r>
          </w:p>
        </w:tc>
        <w:tc>
          <w:tcPr>
            <w:tcW w:w="1440" w:type="dxa"/>
            <w:vAlign w:val="center"/>
          </w:tcPr>
          <w:p w14:paraId="4522660F" w14:textId="5EF7571F" w:rsidR="006F355F" w:rsidRPr="000358FD" w:rsidRDefault="005B60E7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$200,000 per year</w:t>
            </w:r>
          </w:p>
        </w:tc>
        <w:tc>
          <w:tcPr>
            <w:tcW w:w="5220" w:type="dxa"/>
            <w:vAlign w:val="center"/>
          </w:tcPr>
          <w:p w14:paraId="11D41C1F" w14:textId="5714FC72" w:rsidR="005B60E7" w:rsidRPr="005B60E7" w:rsidRDefault="005B60E7" w:rsidP="005B60E7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The purpose is to </w:t>
            </w:r>
            <w:r w:rsidRPr="005B60E7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increase the productivity of sponsored programs activities to enhance biomedical research and/or research training.</w:t>
            </w:r>
          </w:p>
          <w:p w14:paraId="53B2171A" w14:textId="77777777" w:rsidR="006F355F" w:rsidRPr="000358FD" w:rsidRDefault="006F355F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722D2F7C" w14:textId="6FF541E9" w:rsidR="006F355F" w:rsidRPr="000358FD" w:rsidRDefault="005B60E7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Investigators at any stage with “</w:t>
            </w:r>
            <w:r w:rsidRPr="005B60E7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appropriate experience and training</w:t>
            </w: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350" w:type="dxa"/>
            <w:vAlign w:val="center"/>
          </w:tcPr>
          <w:p w14:paraId="4A83AF98" w14:textId="385745F6" w:rsidR="006F355F" w:rsidRPr="000358FD" w:rsidRDefault="005B60E7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3 years</w:t>
            </w:r>
          </w:p>
        </w:tc>
      </w:tr>
      <w:tr w:rsidR="00DE4756" w:rsidRPr="000358FD" w14:paraId="44190DBA" w14:textId="77777777" w:rsidTr="00C57661">
        <w:trPr>
          <w:trHeight w:val="1043"/>
        </w:trPr>
        <w:tc>
          <w:tcPr>
            <w:tcW w:w="2065" w:type="dxa"/>
            <w:vAlign w:val="center"/>
          </w:tcPr>
          <w:p w14:paraId="3E307116" w14:textId="57A96AA8" w:rsidR="00DE4756" w:rsidRDefault="00C16890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hyperlink r:id="rId13" w:anchor="_Part_1._Overview" w:history="1">
              <w:r w:rsidR="00DE4756" w:rsidRPr="00DE4756">
                <w:rPr>
                  <w:rStyle w:val="Hyperlink"/>
                  <w:rFonts w:ascii="Helvetica Neue Light" w:hAnsi="Helvetica Neue Light" w:cs="Arial"/>
                  <w:sz w:val="18"/>
                  <w:szCs w:val="18"/>
                </w:rPr>
                <w:t>NIH Research Supplements to Promote Diversity in Health-Related Research</w:t>
              </w:r>
            </w:hyperlink>
          </w:p>
        </w:tc>
        <w:tc>
          <w:tcPr>
            <w:tcW w:w="1170" w:type="dxa"/>
            <w:vAlign w:val="center"/>
          </w:tcPr>
          <w:p w14:paraId="636F2664" w14:textId="2A937079" w:rsidR="00DE4756" w:rsidRDefault="00DE4756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Varies</w:t>
            </w:r>
          </w:p>
        </w:tc>
        <w:tc>
          <w:tcPr>
            <w:tcW w:w="1440" w:type="dxa"/>
            <w:vAlign w:val="center"/>
          </w:tcPr>
          <w:p w14:paraId="3A20BC85" w14:textId="3EE9A4E1" w:rsidR="00DE4756" w:rsidRDefault="00DE4756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Varies</w:t>
            </w:r>
          </w:p>
        </w:tc>
        <w:tc>
          <w:tcPr>
            <w:tcW w:w="5220" w:type="dxa"/>
            <w:vAlign w:val="center"/>
          </w:tcPr>
          <w:p w14:paraId="14ED0D44" w14:textId="15A91705" w:rsidR="00DE4756" w:rsidRDefault="00DE4756" w:rsidP="005B60E7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For PI’s h</w:t>
            </w:r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olding </w:t>
            </w: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certain grants,</w:t>
            </w:r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provides </w:t>
            </w:r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funds for administrative supplements to improve the diversity of the research workforce by recruiting and supporting students, </w:t>
            </w:r>
            <w:proofErr w:type="spellStart"/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postdoctorates</w:t>
            </w:r>
            <w:proofErr w:type="spellEnd"/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, and eligible investigators from diverse backgrounds</w:t>
            </w: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0" w:type="dxa"/>
            <w:vAlign w:val="center"/>
          </w:tcPr>
          <w:p w14:paraId="6522A019" w14:textId="42F6E75D" w:rsidR="00DE4756" w:rsidRDefault="00DE4756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S</w:t>
            </w:r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 xml:space="preserve">tudents, </w:t>
            </w:r>
            <w:proofErr w:type="spellStart"/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postdoctorates</w:t>
            </w:r>
            <w:proofErr w:type="spellEnd"/>
            <w:r w:rsidRPr="00DE4756"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, and eligible investigators from diverse backgrounds</w:t>
            </w:r>
          </w:p>
        </w:tc>
        <w:tc>
          <w:tcPr>
            <w:tcW w:w="1350" w:type="dxa"/>
            <w:vAlign w:val="center"/>
          </w:tcPr>
          <w:p w14:paraId="7C64DA56" w14:textId="6E578BE8" w:rsidR="00DE4756" w:rsidRDefault="00DE4756" w:rsidP="000358FD">
            <w:pPr>
              <w:rPr>
                <w:rFonts w:ascii="Helvetica Neue Light" w:hAnsi="Helvetica Neue Light" w:cs="Arial"/>
                <w:color w:val="000000"/>
                <w:sz w:val="18"/>
                <w:szCs w:val="18"/>
              </w:rPr>
            </w:pPr>
            <w:r>
              <w:rPr>
                <w:rFonts w:ascii="Helvetica Neue Light" w:hAnsi="Helvetica Neue Light" w:cs="Arial"/>
                <w:color w:val="000000"/>
                <w:sz w:val="18"/>
                <w:szCs w:val="18"/>
              </w:rPr>
              <w:t>Varies</w:t>
            </w:r>
          </w:p>
        </w:tc>
      </w:tr>
    </w:tbl>
    <w:p w14:paraId="076A32AB" w14:textId="77777777" w:rsidR="00730EBE" w:rsidRDefault="00C16890"/>
    <w:p w14:paraId="102681F2" w14:textId="77777777" w:rsidR="000358FD" w:rsidRDefault="000358FD"/>
    <w:sectPr w:rsidR="000358FD" w:rsidSect="00E177EA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22C70" w14:textId="77777777" w:rsidR="00C16890" w:rsidRDefault="00C16890" w:rsidP="002C502C">
      <w:r>
        <w:separator/>
      </w:r>
    </w:p>
  </w:endnote>
  <w:endnote w:type="continuationSeparator" w:id="0">
    <w:p w14:paraId="7E366534" w14:textId="77777777" w:rsidR="00C16890" w:rsidRDefault="00C16890" w:rsidP="002C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249F" w14:textId="3289C39C" w:rsidR="002C502C" w:rsidRDefault="002C502C">
    <w:pPr>
      <w:pStyle w:val="Footer"/>
    </w:pPr>
    <w:r>
      <w:ptab w:relativeTo="margin" w:alignment="center" w:leader="none"/>
    </w:r>
    <w:r w:rsidRPr="002C502C">
      <w:rPr>
        <w:rFonts w:ascii="Calibri" w:eastAsia="Times New Roman" w:hAnsi="Calibri" w:cs="Calibri"/>
        <w:color w:val="000000"/>
        <w:sz w:val="22"/>
        <w:szCs w:val="22"/>
      </w:rPr>
      <w:t xml:space="preserve">Compiled by Stanford Dermatology Program for Clinical Research and Technology, last updated </w:t>
    </w:r>
    <w:r>
      <w:rPr>
        <w:rFonts w:ascii="Calibri" w:eastAsia="Times New Roman" w:hAnsi="Calibri" w:cs="Calibri"/>
        <w:color w:val="000000"/>
        <w:sz w:val="22"/>
        <w:szCs w:val="22"/>
      </w:rPr>
      <w:t>3/25/21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C83D6" w14:textId="77777777" w:rsidR="00C16890" w:rsidRDefault="00C16890" w:rsidP="002C502C">
      <w:r>
        <w:separator/>
      </w:r>
    </w:p>
  </w:footnote>
  <w:footnote w:type="continuationSeparator" w:id="0">
    <w:p w14:paraId="0DA3CC9B" w14:textId="77777777" w:rsidR="00C16890" w:rsidRDefault="00C16890" w:rsidP="002C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EA"/>
    <w:rsid w:val="0001431B"/>
    <w:rsid w:val="000358FD"/>
    <w:rsid w:val="0005186F"/>
    <w:rsid w:val="000745EA"/>
    <w:rsid w:val="00080980"/>
    <w:rsid w:val="00100214"/>
    <w:rsid w:val="001464E0"/>
    <w:rsid w:val="001A3663"/>
    <w:rsid w:val="00227C14"/>
    <w:rsid w:val="00231A8C"/>
    <w:rsid w:val="0026403A"/>
    <w:rsid w:val="002930E2"/>
    <w:rsid w:val="002C0F47"/>
    <w:rsid w:val="002C502C"/>
    <w:rsid w:val="003B79C7"/>
    <w:rsid w:val="003F536C"/>
    <w:rsid w:val="00400CBD"/>
    <w:rsid w:val="00413437"/>
    <w:rsid w:val="00457488"/>
    <w:rsid w:val="00512846"/>
    <w:rsid w:val="00534BF6"/>
    <w:rsid w:val="005A6A3A"/>
    <w:rsid w:val="005B60E7"/>
    <w:rsid w:val="005F5CBC"/>
    <w:rsid w:val="00612059"/>
    <w:rsid w:val="00632717"/>
    <w:rsid w:val="0063608C"/>
    <w:rsid w:val="00660059"/>
    <w:rsid w:val="006F355F"/>
    <w:rsid w:val="00712B5B"/>
    <w:rsid w:val="007205A2"/>
    <w:rsid w:val="00764456"/>
    <w:rsid w:val="00773CF7"/>
    <w:rsid w:val="007E50D7"/>
    <w:rsid w:val="008C2490"/>
    <w:rsid w:val="00933E14"/>
    <w:rsid w:val="009348F2"/>
    <w:rsid w:val="00981D5A"/>
    <w:rsid w:val="009A34B0"/>
    <w:rsid w:val="009A7A20"/>
    <w:rsid w:val="00A22ADB"/>
    <w:rsid w:val="00A22EB2"/>
    <w:rsid w:val="00A2517C"/>
    <w:rsid w:val="00A67CEA"/>
    <w:rsid w:val="00B24FA5"/>
    <w:rsid w:val="00B635F8"/>
    <w:rsid w:val="00B94CC9"/>
    <w:rsid w:val="00B974FC"/>
    <w:rsid w:val="00BA4BE8"/>
    <w:rsid w:val="00BD6A3A"/>
    <w:rsid w:val="00BF2DEB"/>
    <w:rsid w:val="00BF69D3"/>
    <w:rsid w:val="00BF6CB5"/>
    <w:rsid w:val="00C136BD"/>
    <w:rsid w:val="00C16890"/>
    <w:rsid w:val="00C30E1F"/>
    <w:rsid w:val="00C454C7"/>
    <w:rsid w:val="00C57661"/>
    <w:rsid w:val="00CB5F51"/>
    <w:rsid w:val="00CB7123"/>
    <w:rsid w:val="00D228CF"/>
    <w:rsid w:val="00DA024E"/>
    <w:rsid w:val="00DA7A77"/>
    <w:rsid w:val="00DE4756"/>
    <w:rsid w:val="00DF135B"/>
    <w:rsid w:val="00DF23AD"/>
    <w:rsid w:val="00E10222"/>
    <w:rsid w:val="00E177EA"/>
    <w:rsid w:val="00E842FF"/>
    <w:rsid w:val="00EB1045"/>
    <w:rsid w:val="00ED16C6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21CAA"/>
  <w14:defaultImageDpi w14:val="32767"/>
  <w15:chartTrackingRefBased/>
  <w15:docId w15:val="{26AD3A7B-0A1B-0A4B-8D41-386BF6F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7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0358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58F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B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02C"/>
  </w:style>
  <w:style w:type="paragraph" w:styleId="Footer">
    <w:name w:val="footer"/>
    <w:basedOn w:val="Normal"/>
    <w:link w:val="FooterChar"/>
    <w:uiPriority w:val="99"/>
    <w:unhideWhenUsed/>
    <w:rsid w:val="002C5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stanford.edu/facultydiversity/faculty-development/awards.html" TargetMode="External"/><Relationship Id="rId13" Type="http://schemas.openxmlformats.org/officeDocument/2006/relationships/hyperlink" Target="https://grants.nih.gov/grants/guide/pa-files/PA-18-90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tdocs.stanford.edu/hardship" TargetMode="External"/><Relationship Id="rId12" Type="http://schemas.openxmlformats.org/officeDocument/2006/relationships/hyperlink" Target="https://grants.nih.gov/grants/guide/rfa-files/RFA-RM-19-004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pge.stanford.edu/fellowships-funding/dare/details" TargetMode="External"/><Relationship Id="rId11" Type="http://schemas.openxmlformats.org/officeDocument/2006/relationships/hyperlink" Target="https://grants.nih.gov/grants/guide/rfa-files/RFA-RM-19-003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ad.org/members/leadership-institute/mentoring/find-a-mentor/diversity-mentorship-progra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ermatologyfoundation.org/rap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D Morrison</dc:creator>
  <cp:keywords/>
  <dc:description/>
  <cp:lastModifiedBy>Vanessa Nava</cp:lastModifiedBy>
  <cp:revision>4</cp:revision>
  <cp:lastPrinted>2019-07-12T15:28:00Z</cp:lastPrinted>
  <dcterms:created xsi:type="dcterms:W3CDTF">2021-03-25T21:44:00Z</dcterms:created>
  <dcterms:modified xsi:type="dcterms:W3CDTF">2021-03-25T23:28:00Z</dcterms:modified>
</cp:coreProperties>
</file>